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tillium" w:cs="Titillium" w:eastAsia="Titillium" w:hAnsi="Titillium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1440" w:top="1440" w:left="1440" w:right="1133" w:header="708" w:footer="708"/>
          <w:pgNumType w:start="1"/>
          <w:titlePg w:val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spacing w:after="0" w:lineRule="auto"/>
        <w:ind w:right="-23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ind w:right="-23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Startup e cambiamenti climatici:</w:t>
      </w:r>
    </w:p>
    <w:p w:rsidR="00000000" w:rsidDel="00000000" w:rsidP="00000000" w:rsidRDefault="00000000" w:rsidRPr="00000000" w14:paraId="00000003">
      <w:pPr>
        <w:pStyle w:val="Title"/>
        <w:spacing w:after="0" w:lineRule="auto"/>
        <w:ind w:right="-23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nuovo bando del Programma GreenHouse di Climate-KIC per idee innovative ad alto potenziale di mercato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23"/>
        <w:contextualSpacing w:val="0"/>
        <w:jc w:val="both"/>
        <w:rPr/>
      </w:pPr>
      <w:r w:rsidDel="00000000" w:rsidR="00000000" w:rsidRPr="00000000">
        <w:rPr>
          <w:rtl w:val="0"/>
        </w:rPr>
        <w:t xml:space="preserve">Bologna, 19 aprile 2018. Sono aperte le iscrizioni al </w:t>
      </w:r>
      <w:r w:rsidDel="00000000" w:rsidR="00000000" w:rsidRPr="00000000">
        <w:rPr>
          <w:b w:val="1"/>
          <w:rtl w:val="0"/>
        </w:rPr>
        <w:t xml:space="preserve">GreenHouse</w:t>
      </w:r>
      <w:r w:rsidDel="00000000" w:rsidR="00000000" w:rsidRPr="00000000">
        <w:rPr>
          <w:rtl w:val="0"/>
        </w:rPr>
        <w:t xml:space="preserve">, il programma di </w:t>
      </w:r>
      <w:r w:rsidDel="00000000" w:rsidR="00000000" w:rsidRPr="00000000">
        <w:rPr>
          <w:b w:val="1"/>
          <w:rtl w:val="0"/>
        </w:rPr>
        <w:t xml:space="preserve">pre-incubazione</w:t>
      </w:r>
      <w:r w:rsidDel="00000000" w:rsidR="00000000" w:rsidRPr="00000000">
        <w:rPr>
          <w:rtl w:val="0"/>
        </w:rPr>
        <w:t xml:space="preserve"> per studenti o lavoratori che vogliano intraprendere la strada imprenditoriale e abbiano un’idea innovativa per arginare gli effetti dei cambiamenti climatici. Il bando scade il </w:t>
      </w:r>
      <w:r w:rsidDel="00000000" w:rsidR="00000000" w:rsidRPr="00000000">
        <w:rPr>
          <w:b w:val="1"/>
          <w:rtl w:val="0"/>
        </w:rPr>
        <w:t xml:space="preserve">28 maggio 2018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ind w:right="-23"/>
        <w:contextualSpacing w:val="0"/>
        <w:jc w:val="both"/>
        <w:rPr/>
      </w:pPr>
      <w:r w:rsidDel="00000000" w:rsidR="00000000" w:rsidRPr="00000000">
        <w:rPr>
          <w:rtl w:val="0"/>
        </w:rPr>
        <w:t xml:space="preserve">Climate-KIC attraverso i suoi partner </w:t>
      </w:r>
      <w:r w:rsidDel="00000000" w:rsidR="00000000" w:rsidRPr="00000000">
        <w:rPr>
          <w:b w:val="1"/>
          <w:rtl w:val="0"/>
        </w:rPr>
        <w:t xml:space="preserve">Aster, Trentino Sviluppo e Hub Innovazione Trentino</w:t>
      </w:r>
      <w:r w:rsidDel="00000000" w:rsidR="00000000" w:rsidRPr="00000000">
        <w:rPr>
          <w:rtl w:val="0"/>
        </w:rPr>
        <w:t xml:space="preserve"> supporta i primi passi delle startup fornendo servizi consulenziali (professional business coaching, business development, financial planning, pitching), un grant di €2.500, uno spazio di lavoro attrezzato, la possibilità di entrare in contatto con la più importante community internazionale sui cambiamenti climatici. Il Programma di pre-incubazione durerà 6 mesi: saranno solo 10 i team di aspiranti startupper ammessi nelle sedi di Aster a Bologna; di Trentino Sviluppo e Hub Innovazione Trentino a Trento.</w:t>
      </w:r>
    </w:p>
    <w:p w:rsidR="00000000" w:rsidDel="00000000" w:rsidP="00000000" w:rsidRDefault="00000000" w:rsidRPr="00000000" w14:paraId="00000007">
      <w:pPr>
        <w:pStyle w:val="Title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 GreenHouse, trasformare un’idea innovativa e sostenibile in un’impresa 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climate friendly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” non è mai stato così semplice, per chiunque abbia coraggio e motivazione: fino al 28 maggio, possono iscriversi studenti universitari, ricercatori e professionisti italiani oppure provenienti dalle altre nazioni dell’Unione Europea, raggruppati in team da due o più membri (è richiesto il livello B2 di lingua inglese).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-380999</wp:posOffset>
            </wp:positionH>
            <wp:positionV relativeFrom="paragraph">
              <wp:posOffset>358775</wp:posOffset>
            </wp:positionV>
            <wp:extent cx="4785360" cy="2651760"/>
            <wp:effectExtent b="0" l="0" r="0" t="0"/>
            <wp:wrapSquare wrapText="bothSides" distB="0" distT="0" distL="114300" distR="11430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651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pStyle w:val="Title"/>
        <w:spacing w:after="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 Programma GreenHouse aiuta a percorrere le prime fasi di una startup, dall’ideazione all’incubazione:  individua il potenziale innovativo di un’idea; aiuta a costruire  modelli di business sostenibili; testa la commerciabilità di un prodotto/servizio; valuta il lancio sul mercato.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Dal 2011 ad oggi, </w:t>
      </w:r>
      <w:r w:rsidDel="00000000" w:rsidR="00000000" w:rsidRPr="00000000">
        <w:rPr>
          <w:b w:val="1"/>
          <w:rtl w:val="0"/>
        </w:rPr>
        <w:t xml:space="preserve">150</w:t>
      </w:r>
      <w:r w:rsidDel="00000000" w:rsidR="00000000" w:rsidRPr="00000000">
        <w:rPr>
          <w:rtl w:val="0"/>
        </w:rPr>
        <w:t xml:space="preserve"> sono stati i team “pre-incubati” con oltre </w:t>
      </w:r>
      <w:r w:rsidDel="00000000" w:rsidR="00000000" w:rsidRPr="00000000">
        <w:rPr>
          <w:b w:val="1"/>
          <w:rtl w:val="0"/>
        </w:rPr>
        <w:t xml:space="preserve">500</w:t>
      </w:r>
      <w:r w:rsidDel="00000000" w:rsidR="00000000" w:rsidRPr="00000000">
        <w:rPr>
          <w:rtl w:val="0"/>
        </w:rPr>
        <w:t xml:space="preserve"> partecipanti!</w:t>
      </w:r>
    </w:p>
    <w:p w:rsidR="00000000" w:rsidDel="00000000" w:rsidP="00000000" w:rsidRDefault="00000000" w:rsidRPr="00000000" w14:paraId="0000000C">
      <w:pPr>
        <w:pStyle w:val="Title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tillium" w:cs="Titillium" w:eastAsia="Titillium" w:hAnsi="Titill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Climate-KIC </w:t>
      </w:r>
      <w:r w:rsidDel="00000000" w:rsidR="00000000" w:rsidRPr="00000000">
        <w:rPr>
          <w:rtl w:val="0"/>
        </w:rPr>
        <w:t xml:space="preserve">è la più importante partnership europea che si occupa di cambiamenti climatici attraverso l'innovazione. L’obiettivo di lungo periodo è la transizione verso un’economia “zero-carbon”, verso una società prospera e resiliente. Climate-KIC opera attraverso un network pubblico-privato di imprese, Università e Centri di ricerca, ONG e istituzioni pubbliche (oltre 200) su quattro temi prioritari: Urban Transitions, Sustainable Land Use, Sustainable Production Systems, Decision Metrics and Finance, a cui si aggiungono programmi di alta formazione per studenti, start-up e innovatori. Climate-KIC è supportata dall'Istituto Europeo per l’Innovazione Tecnologica (EIT) dell'Unione europea. 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Climate-KIC è presente in Italia con la branch Climate-KIC Italy che ha sede a Bologna e annovera circa 30 partner.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ASTER</w:t>
      </w:r>
      <w:r w:rsidDel="00000000" w:rsidR="00000000" w:rsidRPr="00000000">
        <w:rPr>
          <w:rtl w:val="0"/>
        </w:rPr>
        <w:t xml:space="preserve"> è la Società consortile tra la Regione Emilia-Romagna, le Università, il CNR e l’ENEA, le Associazioni di categoria e 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TRENTINO SVILUPPO</w:t>
      </w:r>
      <w:r w:rsidDel="00000000" w:rsidR="00000000" w:rsidRPr="00000000">
        <w:rPr>
          <w:rtl w:val="0"/>
        </w:rPr>
        <w:t xml:space="preserve">, Società controllata dalla Provincia autonoma di Trento, dal 1986 è punto di riferimento sul territorio per la business location, l’attrazione di aziende ed investimenti, lo sviluppo di filiere e cluster strategici, l’innovazione aziendale, i progetti di internazionalizzazione, gli interventi “di sistema” a carattere immobiliare-finanziario. È lo “sportello unico” che assiste le aziende interessate a localizzarsi in Trentino, offrendo spazi ed immobili produttivi, servizi di consulenza e di accompagnamento. Nel suo patrimonio vi sono oltre 1,5 milioni di metri quadrati di siti industriali ed aree produttive e sei “incubatori d’impresa” (Business Innovation Centre) sparsi sul territorio, che ad oggi ospitano 116 aziende con 750 occupati ed un fatturato di circa 380 milioni di euro.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HIT</w:t>
      </w:r>
      <w:r w:rsidDel="00000000" w:rsidR="00000000" w:rsidRPr="00000000">
        <w:rPr>
          <w:rtl w:val="0"/>
        </w:rPr>
        <w:t xml:space="preserve"> è una società consortile chiamata a valorizzare i risultati della ricerca trentina al fine di promuovere l’innovazione e lo sviluppo economico del territorio. Sono Soci fondatori: Università degli Studi di Trento, Fondazione Bruno Kessler, Trentino Sviluppo, Fondazione Edmund Mach. La sua missione è quella di strutturare un sistema di trasferimento tecnologico avanzato dei risultati della ricerca verso il mercato (technology push &amp; market pull), accelerare la creazione e la crescita di un ecosistema di startup hightech, promuovere la partecipazione dei soci e di imprese locali a iniziative strategiche di innovazione e trasferimento tecnologico a livello europeo, nazionale e locale.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Contatti: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Paola Valandro</w:t>
      </w:r>
      <w:r w:rsidDel="00000000" w:rsidR="00000000" w:rsidRPr="00000000">
        <w:rPr>
          <w:rtl w:val="0"/>
        </w:rPr>
        <w:t xml:space="preserve">, Education Lead Italy - paola.valandro@climate-kic.org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Per ulteriori informazioni: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http://www.climate-kic.org/programmes/entrepreneurship/greenhouse/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jc w:val="right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tl w:val="0"/>
        </w:rPr>
        <w:t xml:space="preserve">Follow us on Facebook/Twitter/LinkedIn: </w:t>
      </w:r>
      <w:r w:rsidDel="00000000" w:rsidR="00000000" w:rsidRPr="00000000">
        <w:rPr>
          <w:b w:val="1"/>
          <w:sz w:val="24"/>
          <w:szCs w:val="24"/>
          <w:rtl w:val="0"/>
        </w:rPr>
        <w:t xml:space="preserve">@ClimateKICItaly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133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tillium"/>
  <w:font w:name="Titillium L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58653" cy="236849"/>
          <wp:effectExtent b="0" l="0" r="0" t="0"/>
          <wp:docPr id="9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653" cy="2368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3355340</wp:posOffset>
          </wp:positionH>
          <wp:positionV relativeFrom="paragraph">
            <wp:posOffset>-2256789</wp:posOffset>
          </wp:positionV>
          <wp:extent cx="3708400" cy="3708400"/>
          <wp:effectExtent b="0" l="0" r="0" t="0"/>
          <wp:wrapNone/>
          <wp:docPr id="8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0" cy="370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-444499</wp:posOffset>
              </wp:positionH>
              <wp:positionV relativeFrom="paragraph">
                <wp:posOffset>-177799</wp:posOffset>
              </wp:positionV>
              <wp:extent cx="3423285" cy="657225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39120" y="3456150"/>
                        <a:ext cx="341376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Climate-KIC Italy: Via Piero Gobetti, 101 - 40129 Bologna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Tel: +39 051 6398191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info-italy@climate-kic.org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-444499</wp:posOffset>
              </wp:positionH>
              <wp:positionV relativeFrom="paragraph">
                <wp:posOffset>-177799</wp:posOffset>
              </wp:positionV>
              <wp:extent cx="3423285" cy="657225"/>
              <wp:effectExtent b="0" l="0" r="0" t="0"/>
              <wp:wrapSquare wrapText="bothSides" distB="45720" distT="45720" distL="114300" distR="114300"/>
              <wp:docPr id="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328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contextualSpacing w:val="0"/>
      <w:jc w:val="right"/>
      <w:rPr>
        <w:color w:val="000000"/>
      </w:rPr>
    </w:pPr>
    <w:r w:rsidDel="00000000" w:rsidR="00000000" w:rsidRPr="00000000">
      <w:rPr>
        <w:color w:val="333333"/>
      </w:rPr>
      <w:drawing>
        <wp:inline distB="0" distT="0" distL="0" distR="0">
          <wp:extent cx="1458653" cy="236849"/>
          <wp:effectExtent b="0" l="0" r="0" t="0"/>
          <wp:docPr id="10" name="image18.png"/>
          <a:graphic>
            <a:graphicData uri="http://schemas.openxmlformats.org/drawingml/2006/picture">
              <pic:pic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653" cy="2368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3388359</wp:posOffset>
          </wp:positionH>
          <wp:positionV relativeFrom="paragraph">
            <wp:posOffset>-2181223</wp:posOffset>
          </wp:positionV>
          <wp:extent cx="3708400" cy="3708400"/>
          <wp:effectExtent b="0" l="0" r="0" t="0"/>
          <wp:wrapNone/>
          <wp:docPr id="7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8400" cy="370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-431799</wp:posOffset>
              </wp:positionH>
              <wp:positionV relativeFrom="paragraph">
                <wp:posOffset>-88899</wp:posOffset>
              </wp:positionV>
              <wp:extent cx="3423285" cy="65722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39120" y="3456150"/>
                        <a:ext cx="341376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Climate-KIC Italy: Via Piero Gobetti, 101 - 40129 Bologna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Tel: +39 051 6398191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 xml:space="preserve">info-italy@climate-kic.org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-431799</wp:posOffset>
              </wp:positionH>
              <wp:positionV relativeFrom="paragraph">
                <wp:posOffset>-88899</wp:posOffset>
              </wp:positionV>
              <wp:extent cx="3423285" cy="657225"/>
              <wp:effectExtent b="0" l="0" r="0" t="0"/>
              <wp:wrapSquare wrapText="bothSides" distB="45720" distT="45720" distL="114300" distR="11430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328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-899158</wp:posOffset>
          </wp:positionH>
          <wp:positionV relativeFrom="paragraph">
            <wp:posOffset>-442592</wp:posOffset>
          </wp:positionV>
          <wp:extent cx="4254500" cy="1765300"/>
          <wp:effectExtent b="0" l="0" r="0" t="0"/>
          <wp:wrapSquare wrapText="bothSides" distB="0" distT="0" distL="0" distR="0"/>
          <wp:docPr id="6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54500" cy="176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4203700</wp:posOffset>
              </wp:positionH>
              <wp:positionV relativeFrom="paragraph">
                <wp:posOffset>254000</wp:posOffset>
              </wp:positionV>
              <wp:extent cx="2442845" cy="33782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34103" y="3620615"/>
                        <a:ext cx="2423795" cy="31877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4203700</wp:posOffset>
              </wp:positionH>
              <wp:positionV relativeFrom="paragraph">
                <wp:posOffset>254000</wp:posOffset>
              </wp:positionV>
              <wp:extent cx="2442845" cy="337820"/>
              <wp:effectExtent b="0" l="0" r="0" t="0"/>
              <wp:wrapSquare wrapText="bothSides" distB="0" distT="0" distL="0" distR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2845" cy="337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4394200</wp:posOffset>
              </wp:positionH>
              <wp:positionV relativeFrom="paragraph">
                <wp:posOffset>241300</wp:posOffset>
              </wp:positionV>
              <wp:extent cx="2014220" cy="35306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43653" y="3608233"/>
                        <a:ext cx="200469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COMUNICATO STAMPA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4394200</wp:posOffset>
              </wp:positionH>
              <wp:positionV relativeFrom="paragraph">
                <wp:posOffset>241300</wp:posOffset>
              </wp:positionV>
              <wp:extent cx="2014220" cy="353060"/>
              <wp:effectExtent b="0" l="0" r="0" t="0"/>
              <wp:wrapSquare wrapText="bothSides" distB="0" distT="0" distL="0" distR="0"/>
              <wp:docPr id="4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4220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-914399</wp:posOffset>
          </wp:positionH>
          <wp:positionV relativeFrom="paragraph">
            <wp:posOffset>-434974</wp:posOffset>
          </wp:positionV>
          <wp:extent cx="2667000" cy="1029335"/>
          <wp:effectExtent b="0" l="0" r="0" t="0"/>
          <wp:wrapSquare wrapText="bothSides" distB="0" distT="0" distL="0" distR="0"/>
          <wp:docPr id="11" name="image19.png"/>
          <a:graphic>
            <a:graphicData uri="http://schemas.openxmlformats.org/drawingml/2006/picture">
              <pic:pic>
                <pic:nvPicPr>
                  <pic:cNvPr id="0" name="image19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1029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="240" w:lineRule="auto"/>
      <w:contextualSpacing w:val="1"/>
    </w:pPr>
    <w:rPr>
      <w:rFonts w:ascii="Titillium Lt" w:cs="Titillium Lt" w:eastAsia="Titillium Lt" w:hAnsi="Titillium Lt"/>
      <w:color w:val="44546a"/>
      <w:sz w:val="60"/>
      <w:szCs w:val="60"/>
    </w:rPr>
  </w:style>
  <w:style w:type="paragraph" w:styleId="Subtitle">
    <w:name w:val="Subtitle"/>
    <w:basedOn w:val="Normal"/>
    <w:next w:val="Normal"/>
    <w:pPr>
      <w:spacing w:after="60" w:before="480" w:line="264" w:lineRule="auto"/>
    </w:pPr>
    <w:rPr>
      <w:rFonts w:ascii="Titillium Lt" w:cs="Titillium Lt" w:eastAsia="Titillium Lt" w:hAnsi="Titillium Lt"/>
      <w:color w:val="e7e6e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3.png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6.png"/><Relationship Id="rId3" Type="http://schemas.openxmlformats.org/officeDocument/2006/relationships/image" Target="media/image10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5.png"/><Relationship Id="rId3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2.png"/><Relationship Id="rId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