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16" w:rsidRPr="00080950" w:rsidRDefault="00080950" w:rsidP="00FB2E2C">
      <w:pPr>
        <w:jc w:val="center"/>
        <w:rPr>
          <w:b/>
        </w:rPr>
      </w:pPr>
      <w:bookmarkStart w:id="0" w:name="_GoBack"/>
      <w:bookmarkEnd w:id="0"/>
      <w:r w:rsidRPr="00080950">
        <w:rPr>
          <w:b/>
        </w:rPr>
        <w:t>COMPETENCE CENTER</w:t>
      </w:r>
    </w:p>
    <w:p w:rsidR="00080950" w:rsidRDefault="00080950" w:rsidP="00080950">
      <w:pPr>
        <w:jc w:val="both"/>
      </w:pPr>
    </w:p>
    <w:p w:rsidR="00E52B28" w:rsidRPr="00FB2E2C" w:rsidRDefault="00E52B28" w:rsidP="00080950">
      <w:pPr>
        <w:jc w:val="both"/>
        <w:rPr>
          <w:b/>
          <w:i/>
          <w:u w:val="single"/>
        </w:rPr>
      </w:pPr>
      <w:r w:rsidRPr="00FB2E2C">
        <w:rPr>
          <w:b/>
          <w:i/>
          <w:u w:val="single"/>
        </w:rPr>
        <w:t>Quadro generale</w:t>
      </w:r>
    </w:p>
    <w:p w:rsidR="00080950" w:rsidRDefault="00080950" w:rsidP="00080950">
      <w:pPr>
        <w:jc w:val="both"/>
      </w:pPr>
      <w:r>
        <w:t xml:space="preserve">All’interno del Piano </w:t>
      </w:r>
      <w:r w:rsidR="00F70C94">
        <w:t xml:space="preserve">Nazionale </w:t>
      </w:r>
      <w:r>
        <w:t>Industria 4.0</w:t>
      </w:r>
      <w:r w:rsidR="00F70C94">
        <w:t>, lanciato nel settembre 2016</w:t>
      </w:r>
      <w:r>
        <w:t xml:space="preserve">, tra i vari interventi messi a disposizione dal Ministero dello Sviluppo Economico, si è prevista la creazione di </w:t>
      </w:r>
      <w:r w:rsidRPr="002F67D1">
        <w:rPr>
          <w:b/>
        </w:rPr>
        <w:t>Centri di Competenza ad Alta Specializzazione</w:t>
      </w:r>
      <w:r>
        <w:t>.</w:t>
      </w:r>
    </w:p>
    <w:p w:rsidR="00080950" w:rsidRDefault="00080950" w:rsidP="00080950">
      <w:pPr>
        <w:jc w:val="both"/>
      </w:pPr>
      <w:r>
        <w:t xml:space="preserve">La misura, partita un po’ in ritardo rispetto alle </w:t>
      </w:r>
      <w:r w:rsidR="00E52B28">
        <w:t xml:space="preserve">iniziali </w:t>
      </w:r>
      <w:r>
        <w:t xml:space="preserve">attese, prevede la costituzione di PPP-Partenariati Pubblico-Privati </w:t>
      </w:r>
      <w:r w:rsidR="00E52B28">
        <w:t xml:space="preserve">con finalità di </w:t>
      </w:r>
      <w:r w:rsidR="00E67391" w:rsidRPr="00E67391">
        <w:rPr>
          <w:i/>
        </w:rPr>
        <w:t>‘</w:t>
      </w:r>
      <w:r w:rsidR="00E52B28" w:rsidRPr="00E67391">
        <w:rPr>
          <w:i/>
        </w:rPr>
        <w:t xml:space="preserve">orientamento e formazione alle imprese nonché di supporto nell'attuazione di progetti di innovazione, ricerca industriale e sviluppo sperimentale finalizzati alla realizzazione, da parte delle imprese fruitrici, in particolare delle </w:t>
      </w:r>
      <w:proofErr w:type="spellStart"/>
      <w:r w:rsidR="00E52B28" w:rsidRPr="00E67391">
        <w:rPr>
          <w:i/>
        </w:rPr>
        <w:t>Pmi</w:t>
      </w:r>
      <w:proofErr w:type="spellEnd"/>
      <w:r w:rsidR="00E52B28" w:rsidRPr="00E67391">
        <w:rPr>
          <w:i/>
        </w:rPr>
        <w:t>, di nuovi prodotti, processi o servizi (o al loro miglioramento) tramite tecnologie avanzate in ambito Industria 4.0</w:t>
      </w:r>
      <w:r w:rsidR="00E67391" w:rsidRPr="00E67391">
        <w:rPr>
          <w:i/>
        </w:rPr>
        <w:t>’</w:t>
      </w:r>
      <w:r w:rsidR="00172050">
        <w:t xml:space="preserve">. I </w:t>
      </w:r>
      <w:proofErr w:type="spellStart"/>
      <w:r w:rsidR="00172050">
        <w:t>Competence</w:t>
      </w:r>
      <w:proofErr w:type="spellEnd"/>
      <w:r w:rsidR="00172050">
        <w:t xml:space="preserve"> Center saranno poli di ricerca e trasferimento tecnologico in ambito ‘I4.0’.</w:t>
      </w:r>
    </w:p>
    <w:p w:rsidR="00080950" w:rsidRDefault="00E52B28" w:rsidP="00080950">
      <w:pPr>
        <w:jc w:val="both"/>
      </w:pPr>
      <w:r>
        <w:t>Le risorse disponibili</w:t>
      </w:r>
      <w:r w:rsidR="000C6666">
        <w:t xml:space="preserve"> del progetto dalla durata triennale (salvo proroghe)</w:t>
      </w:r>
      <w:r>
        <w:t xml:space="preserve">, rimodulate positivamente dal Ministro </w:t>
      </w:r>
      <w:proofErr w:type="spellStart"/>
      <w:r>
        <w:t>Calenda</w:t>
      </w:r>
      <w:proofErr w:type="spellEnd"/>
      <w:r>
        <w:t xml:space="preserve"> in chiusura di mandato, ammontano a complessivi 73 milioni di euro che verranno ripartiti tra le otto cordate considerate meritevoli di finanziamento</w:t>
      </w:r>
      <w:r w:rsidR="00E67391">
        <w:t xml:space="preserve"> (di seguito si riporta il soggetto capofila e il nome del partenariato):</w:t>
      </w:r>
    </w:p>
    <w:p w:rsidR="00E67391" w:rsidRDefault="00E67391" w:rsidP="00080950">
      <w:pPr>
        <w:jc w:val="both"/>
      </w:pPr>
      <w:r>
        <w:t>Politecnico di Torino – Manufacturing 4.0</w:t>
      </w:r>
    </w:p>
    <w:p w:rsidR="00E67391" w:rsidRDefault="00E67391" w:rsidP="00080950">
      <w:pPr>
        <w:jc w:val="both"/>
      </w:pPr>
      <w:r>
        <w:t xml:space="preserve">Politecnico di Milano – Made in </w:t>
      </w:r>
      <w:proofErr w:type="spellStart"/>
      <w:r>
        <w:t>Italy</w:t>
      </w:r>
      <w:proofErr w:type="spellEnd"/>
      <w:r>
        <w:t xml:space="preserve"> 4.0</w:t>
      </w:r>
    </w:p>
    <w:p w:rsidR="00E67391" w:rsidRDefault="00E67391" w:rsidP="00080950">
      <w:pPr>
        <w:jc w:val="both"/>
      </w:pPr>
      <w:r>
        <w:t xml:space="preserve">Alma Mater </w:t>
      </w:r>
      <w:proofErr w:type="spellStart"/>
      <w:r>
        <w:t>Studiorum</w:t>
      </w:r>
      <w:proofErr w:type="spellEnd"/>
      <w:r>
        <w:t xml:space="preserve"> Università di Bologna – BI-REX</w:t>
      </w:r>
    </w:p>
    <w:p w:rsidR="00E67391" w:rsidRDefault="00E67391" w:rsidP="00080950">
      <w:pPr>
        <w:jc w:val="both"/>
      </w:pPr>
      <w:r>
        <w:t>Scuola Superiore Sant’Anna di Pisa – ARTES 4.0</w:t>
      </w:r>
    </w:p>
    <w:p w:rsidR="00E67391" w:rsidRPr="00E67391" w:rsidRDefault="00E67391" w:rsidP="00080950">
      <w:pPr>
        <w:jc w:val="both"/>
        <w:rPr>
          <w:b/>
        </w:rPr>
      </w:pPr>
      <w:r>
        <w:rPr>
          <w:b/>
        </w:rPr>
        <w:t>*</w:t>
      </w:r>
      <w:r w:rsidRPr="00E67391">
        <w:rPr>
          <w:b/>
        </w:rPr>
        <w:t xml:space="preserve">Università degli Studi di Padova </w:t>
      </w:r>
      <w:r>
        <w:rPr>
          <w:b/>
        </w:rPr>
        <w:t>–</w:t>
      </w:r>
      <w:r w:rsidRPr="00E67391">
        <w:rPr>
          <w:b/>
        </w:rPr>
        <w:t xml:space="preserve"> SMACT</w:t>
      </w:r>
    </w:p>
    <w:p w:rsidR="00E67391" w:rsidRDefault="00E67391" w:rsidP="00080950">
      <w:pPr>
        <w:jc w:val="both"/>
      </w:pPr>
      <w:r>
        <w:t xml:space="preserve">Università degli Studi di Napoli ‘Federico II’ – </w:t>
      </w:r>
      <w:proofErr w:type="spellStart"/>
      <w:r>
        <w:t>Industry</w:t>
      </w:r>
      <w:proofErr w:type="spellEnd"/>
      <w:r>
        <w:t xml:space="preserve"> 4.0</w:t>
      </w:r>
    </w:p>
    <w:p w:rsidR="00E67391" w:rsidRDefault="00E67391" w:rsidP="00080950">
      <w:pPr>
        <w:jc w:val="both"/>
      </w:pPr>
      <w:r>
        <w:t>Consiglio Nazionale delle Ricerche – START 4.0</w:t>
      </w:r>
    </w:p>
    <w:p w:rsidR="00E67391" w:rsidRDefault="00E67391" w:rsidP="00080950">
      <w:pPr>
        <w:jc w:val="both"/>
      </w:pPr>
      <w:r>
        <w:t>Università degli Studi di Roma ‘La Sapienza’ – Cyber 4.0</w:t>
      </w:r>
    </w:p>
    <w:p w:rsidR="00080950" w:rsidRDefault="00E67391" w:rsidP="00080950">
      <w:pPr>
        <w:jc w:val="both"/>
      </w:pPr>
      <w:r>
        <w:t xml:space="preserve">(due le esclusioni: </w:t>
      </w:r>
      <w:r w:rsidR="005610EE">
        <w:t>cordate capitanate dal Centro siciliano di fisica nucleare e dall’Università di Catania)</w:t>
      </w:r>
      <w:r w:rsidR="000C6666">
        <w:t>.</w:t>
      </w:r>
    </w:p>
    <w:p w:rsidR="00080950" w:rsidRDefault="00172050" w:rsidP="000C6666">
      <w:pPr>
        <w:jc w:val="both"/>
      </w:pPr>
      <w:r>
        <w:t xml:space="preserve">Sono quasi quattrocento le imprese che hanno collaborato con le 73 Università e Centri di ricerca </w:t>
      </w:r>
      <w:r w:rsidR="008253EC">
        <w:t>in Italia che soddisfano i requisiti del</w:t>
      </w:r>
      <w:r>
        <w:t xml:space="preserve"> bando</w:t>
      </w:r>
      <w:r w:rsidR="008253EC">
        <w:t xml:space="preserve"> che prevede un </w:t>
      </w:r>
      <w:r w:rsidR="000C6666">
        <w:t xml:space="preserve">finanziamento pubblico pari al 50% </w:t>
      </w:r>
      <w:r w:rsidR="00F70C94">
        <w:t>delle spese sostenute</w:t>
      </w:r>
      <w:r w:rsidR="000C6666">
        <w:t xml:space="preserve"> (</w:t>
      </w:r>
      <w:r w:rsidR="000C6666" w:rsidRPr="000C6666">
        <w:t>fino a 7</w:t>
      </w:r>
      <w:r w:rsidR="00F70C94">
        <w:t>,</w:t>
      </w:r>
      <w:r w:rsidR="000C6666" w:rsidRPr="000C6666">
        <w:t xml:space="preserve">5 </w:t>
      </w:r>
      <w:r w:rsidR="00F70C94">
        <w:t xml:space="preserve">milioni di euro </w:t>
      </w:r>
      <w:r w:rsidR="000C6666" w:rsidRPr="000C6666">
        <w:t xml:space="preserve">per la costituzione ed avviamento </w:t>
      </w:r>
      <w:r w:rsidR="00F70C94">
        <w:t xml:space="preserve">del CC </w:t>
      </w:r>
      <w:r w:rsidR="000C6666" w:rsidRPr="000C6666">
        <w:t>e fino a 200</w:t>
      </w:r>
      <w:r w:rsidR="00F70C94">
        <w:t xml:space="preserve"> mila euro</w:t>
      </w:r>
      <w:r w:rsidR="000C6666" w:rsidRPr="000C6666">
        <w:t xml:space="preserve"> per la realizzazione di ciascun progetto</w:t>
      </w:r>
      <w:r w:rsidR="000C6666">
        <w:t>).</w:t>
      </w:r>
    </w:p>
    <w:p w:rsidR="000C6666" w:rsidRDefault="000C6666" w:rsidP="000C6666">
      <w:pPr>
        <w:jc w:val="both"/>
      </w:pPr>
    </w:p>
    <w:p w:rsidR="00FB2E2C" w:rsidRDefault="00FB2E2C" w:rsidP="000C6666">
      <w:pPr>
        <w:jc w:val="both"/>
      </w:pPr>
    </w:p>
    <w:p w:rsidR="000C6666" w:rsidRPr="00FB2E2C" w:rsidRDefault="000C6666" w:rsidP="000C6666">
      <w:pPr>
        <w:jc w:val="both"/>
        <w:rPr>
          <w:b/>
          <w:i/>
          <w:u w:val="single"/>
        </w:rPr>
      </w:pPr>
      <w:r w:rsidRPr="00FB2E2C">
        <w:rPr>
          <w:b/>
          <w:i/>
          <w:u w:val="single"/>
        </w:rPr>
        <w:t>SMACT|CC</w:t>
      </w:r>
      <w:r w:rsidR="00F70C94">
        <w:rPr>
          <w:b/>
          <w:i/>
          <w:u w:val="single"/>
        </w:rPr>
        <w:t xml:space="preserve"> -</w:t>
      </w:r>
      <w:r w:rsidRPr="00FB2E2C">
        <w:rPr>
          <w:b/>
          <w:i/>
          <w:u w:val="single"/>
        </w:rPr>
        <w:t xml:space="preserve"> </w:t>
      </w:r>
      <w:proofErr w:type="spellStart"/>
      <w:r w:rsidRPr="00FB2E2C">
        <w:rPr>
          <w:b/>
          <w:i/>
          <w:u w:val="single"/>
        </w:rPr>
        <w:t>Competence</w:t>
      </w:r>
      <w:proofErr w:type="spellEnd"/>
      <w:r w:rsidRPr="00FB2E2C">
        <w:rPr>
          <w:b/>
          <w:i/>
          <w:u w:val="single"/>
        </w:rPr>
        <w:t xml:space="preserve"> Center del Triveneto</w:t>
      </w:r>
    </w:p>
    <w:p w:rsidR="005610EE" w:rsidRDefault="000C6666" w:rsidP="005610EE">
      <w:pPr>
        <w:jc w:val="both"/>
      </w:pPr>
      <w:r w:rsidRPr="002F67D1">
        <w:rPr>
          <w:b/>
        </w:rPr>
        <w:t xml:space="preserve">SMACT, acronimo di ‘Social Network, Mobile </w:t>
      </w:r>
      <w:proofErr w:type="spellStart"/>
      <w:r w:rsidRPr="002F67D1">
        <w:rPr>
          <w:b/>
        </w:rPr>
        <w:t>platforms</w:t>
      </w:r>
      <w:proofErr w:type="spellEnd"/>
      <w:r w:rsidRPr="002F67D1">
        <w:rPr>
          <w:b/>
        </w:rPr>
        <w:t xml:space="preserve"> &amp; </w:t>
      </w:r>
      <w:proofErr w:type="spellStart"/>
      <w:r w:rsidRPr="002F67D1">
        <w:rPr>
          <w:b/>
        </w:rPr>
        <w:t>Apps</w:t>
      </w:r>
      <w:proofErr w:type="spellEnd"/>
      <w:r w:rsidRPr="002F67D1">
        <w:rPr>
          <w:b/>
        </w:rPr>
        <w:t xml:space="preserve">, Advanced Analytics and Big Data, </w:t>
      </w:r>
      <w:proofErr w:type="spellStart"/>
      <w:r w:rsidRPr="002F67D1">
        <w:rPr>
          <w:b/>
        </w:rPr>
        <w:t>Cloud</w:t>
      </w:r>
      <w:proofErr w:type="spellEnd"/>
      <w:r w:rsidRPr="002F67D1">
        <w:rPr>
          <w:b/>
        </w:rPr>
        <w:t xml:space="preserve">, </w:t>
      </w:r>
      <w:proofErr w:type="spellStart"/>
      <w:r w:rsidRPr="002F67D1">
        <w:rPr>
          <w:b/>
        </w:rPr>
        <w:t>IoT</w:t>
      </w:r>
      <w:proofErr w:type="spellEnd"/>
      <w:r w:rsidRPr="002F67D1">
        <w:rPr>
          <w:b/>
        </w:rPr>
        <w:t>’</w:t>
      </w:r>
      <w:r>
        <w:t>,</w:t>
      </w:r>
      <w:r w:rsidRPr="000C6666">
        <w:t xml:space="preserve"> il partenariato </w:t>
      </w:r>
      <w:r>
        <w:t>pubblico-privato costituito sul territorio delle</w:t>
      </w:r>
      <w:r w:rsidRPr="000C6666">
        <w:t xml:space="preserve"> Tre </w:t>
      </w:r>
      <w:proofErr w:type="spellStart"/>
      <w:r w:rsidRPr="000C6666">
        <w:t>Venezie</w:t>
      </w:r>
      <w:proofErr w:type="spellEnd"/>
      <w:r w:rsidRPr="000C6666">
        <w:t>, vede</w:t>
      </w:r>
      <w:r w:rsidR="00FB2E2C">
        <w:t xml:space="preserve"> coinvolta la Fondazione</w:t>
      </w:r>
      <w:r>
        <w:t xml:space="preserve"> assieme ad altri nove organismi di diritto pubblico:</w:t>
      </w:r>
    </w:p>
    <w:p w:rsidR="000C6666" w:rsidRDefault="000C6666" w:rsidP="000C6666">
      <w:pPr>
        <w:jc w:val="both"/>
      </w:pPr>
      <w:r>
        <w:t>Università degli Studi di Padova (Soggetto proponente)</w:t>
      </w:r>
    </w:p>
    <w:p w:rsidR="000C6666" w:rsidRDefault="000C6666" w:rsidP="000C6666">
      <w:pPr>
        <w:jc w:val="both"/>
      </w:pPr>
      <w:r>
        <w:t>Università degli Studi di Verona</w:t>
      </w:r>
    </w:p>
    <w:p w:rsidR="000C6666" w:rsidRDefault="000C6666" w:rsidP="000C6666">
      <w:pPr>
        <w:jc w:val="both"/>
      </w:pPr>
      <w:r>
        <w:lastRenderedPageBreak/>
        <w:t xml:space="preserve">Università Ca’ </w:t>
      </w:r>
      <w:proofErr w:type="spellStart"/>
      <w:r>
        <w:t>Foscari</w:t>
      </w:r>
      <w:proofErr w:type="spellEnd"/>
      <w:r>
        <w:t xml:space="preserve"> Venezia</w:t>
      </w:r>
    </w:p>
    <w:p w:rsidR="000C6666" w:rsidRDefault="000C6666" w:rsidP="000C6666">
      <w:pPr>
        <w:jc w:val="both"/>
      </w:pPr>
      <w:r>
        <w:t>Università degli Studi di Trento</w:t>
      </w:r>
    </w:p>
    <w:p w:rsidR="000C6666" w:rsidRDefault="000C6666" w:rsidP="000C6666">
      <w:pPr>
        <w:jc w:val="both"/>
      </w:pPr>
      <w:r>
        <w:t>SISSA (Scuola Superiore Internazionale di Studi Avanzati) Trieste</w:t>
      </w:r>
    </w:p>
    <w:p w:rsidR="000C6666" w:rsidRDefault="000C6666" w:rsidP="000C6666">
      <w:pPr>
        <w:jc w:val="both"/>
      </w:pPr>
      <w:r>
        <w:t>Libera Università di Bolzano</w:t>
      </w:r>
    </w:p>
    <w:p w:rsidR="000C6666" w:rsidRDefault="000C6666" w:rsidP="000C6666">
      <w:pPr>
        <w:jc w:val="both"/>
      </w:pPr>
      <w:r>
        <w:t>Università degli Studi di Udine</w:t>
      </w:r>
    </w:p>
    <w:p w:rsidR="000C6666" w:rsidRDefault="000C6666" w:rsidP="000C6666">
      <w:pPr>
        <w:jc w:val="both"/>
      </w:pPr>
      <w:r>
        <w:t>Università IUAV di Venezia</w:t>
      </w:r>
    </w:p>
    <w:p w:rsidR="000C6666" w:rsidRPr="000C6666" w:rsidRDefault="000C6666" w:rsidP="000C6666">
      <w:pPr>
        <w:jc w:val="both"/>
        <w:rPr>
          <w:b/>
        </w:rPr>
      </w:pPr>
      <w:r w:rsidRPr="000C6666">
        <w:rPr>
          <w:b/>
        </w:rPr>
        <w:t>Fondazione Bruno Kessler Trento</w:t>
      </w:r>
    </w:p>
    <w:p w:rsidR="005610EE" w:rsidRDefault="000C6666" w:rsidP="000C6666">
      <w:pPr>
        <w:jc w:val="both"/>
      </w:pPr>
      <w:r>
        <w:t>Istituto Nazionale di Fisica Nucleare – Sezione di Padova e Laboratori Nazionali di Legnaro</w:t>
      </w:r>
    </w:p>
    <w:p w:rsidR="000C6666" w:rsidRDefault="000C6666" w:rsidP="005610EE">
      <w:pPr>
        <w:jc w:val="both"/>
      </w:pPr>
    </w:p>
    <w:p w:rsidR="005610EE" w:rsidRDefault="000C6666" w:rsidP="005610EE">
      <w:pPr>
        <w:jc w:val="both"/>
      </w:pPr>
      <w:r>
        <w:t xml:space="preserve">e trenta imprese private (di cui tre dal Trentino: Adige BLM Group, </w:t>
      </w:r>
      <w:proofErr w:type="spellStart"/>
      <w:r>
        <w:t>EnginSoft</w:t>
      </w:r>
      <w:proofErr w:type="spellEnd"/>
      <w:r>
        <w:t xml:space="preserve"> e Opto-I):</w:t>
      </w:r>
    </w:p>
    <w:p w:rsidR="000C6666" w:rsidRDefault="000C6666" w:rsidP="000C6666">
      <w:pPr>
        <w:jc w:val="both"/>
      </w:pPr>
      <w:r>
        <w:t>ACCA software</w:t>
      </w:r>
    </w:p>
    <w:p w:rsidR="000C6666" w:rsidRPr="00FB2E2C" w:rsidRDefault="000C6666" w:rsidP="000C6666">
      <w:pPr>
        <w:jc w:val="both"/>
        <w:rPr>
          <w:b/>
        </w:rPr>
      </w:pPr>
      <w:r w:rsidRPr="00FB2E2C">
        <w:rPr>
          <w:b/>
        </w:rPr>
        <w:t>Adige</w:t>
      </w:r>
    </w:p>
    <w:p w:rsidR="000C6666" w:rsidRDefault="000C6666" w:rsidP="000C6666">
      <w:pPr>
        <w:jc w:val="both"/>
      </w:pPr>
      <w:proofErr w:type="spellStart"/>
      <w:r>
        <w:t>Aspiag</w:t>
      </w:r>
      <w:proofErr w:type="spellEnd"/>
      <w:r>
        <w:t xml:space="preserve"> Service</w:t>
      </w:r>
    </w:p>
    <w:p w:rsidR="000C6666" w:rsidRDefault="000C6666" w:rsidP="000C6666">
      <w:pPr>
        <w:jc w:val="both"/>
      </w:pPr>
      <w:proofErr w:type="spellStart"/>
      <w:r>
        <w:t>Brovedani</w:t>
      </w:r>
      <w:proofErr w:type="spellEnd"/>
      <w:r>
        <w:t xml:space="preserve"> (A14) </w:t>
      </w:r>
    </w:p>
    <w:p w:rsidR="000C6666" w:rsidRDefault="000C6666" w:rsidP="000C6666">
      <w:pPr>
        <w:jc w:val="both"/>
      </w:pPr>
      <w:r>
        <w:t xml:space="preserve">CAREL </w:t>
      </w:r>
      <w:proofErr w:type="spellStart"/>
      <w:r>
        <w:t>Industries</w:t>
      </w:r>
      <w:proofErr w:type="spellEnd"/>
    </w:p>
    <w:p w:rsidR="000C6666" w:rsidRDefault="000C6666" w:rsidP="000C6666">
      <w:pPr>
        <w:jc w:val="both"/>
      </w:pPr>
      <w:proofErr w:type="spellStart"/>
      <w:r>
        <w:t>Corvallis</w:t>
      </w:r>
      <w:proofErr w:type="spellEnd"/>
      <w:r>
        <w:t xml:space="preserve"> (A16)</w:t>
      </w:r>
    </w:p>
    <w:p w:rsidR="000C6666" w:rsidRDefault="000C6666" w:rsidP="000C6666">
      <w:pPr>
        <w:jc w:val="both"/>
      </w:pPr>
      <w:r>
        <w:t>Danieli &amp; C. Officine Meccaniche</w:t>
      </w:r>
    </w:p>
    <w:p w:rsidR="000C6666" w:rsidRPr="000C6666" w:rsidRDefault="000C6666" w:rsidP="000C6666">
      <w:pPr>
        <w:jc w:val="both"/>
        <w:rPr>
          <w:lang w:val="en-US"/>
        </w:rPr>
      </w:pPr>
      <w:r w:rsidRPr="000C6666">
        <w:rPr>
          <w:lang w:val="en-US"/>
        </w:rPr>
        <w:t>DBA lab</w:t>
      </w:r>
    </w:p>
    <w:p w:rsidR="000C6666" w:rsidRPr="000C6666" w:rsidRDefault="000C6666" w:rsidP="000C6666">
      <w:pPr>
        <w:jc w:val="both"/>
        <w:rPr>
          <w:lang w:val="en-US"/>
        </w:rPr>
      </w:pPr>
      <w:r w:rsidRPr="000C6666">
        <w:rPr>
          <w:lang w:val="en-US"/>
        </w:rPr>
        <w:t>Electrolux Italia</w:t>
      </w:r>
    </w:p>
    <w:p w:rsidR="000C6666" w:rsidRPr="00FB2E2C" w:rsidRDefault="000C6666" w:rsidP="000C6666">
      <w:pPr>
        <w:jc w:val="both"/>
        <w:rPr>
          <w:b/>
          <w:lang w:val="en-US"/>
        </w:rPr>
      </w:pPr>
      <w:proofErr w:type="spellStart"/>
      <w:r w:rsidRPr="00FB2E2C">
        <w:rPr>
          <w:b/>
          <w:lang w:val="en-US"/>
        </w:rPr>
        <w:t>EnginSoft</w:t>
      </w:r>
      <w:proofErr w:type="spellEnd"/>
    </w:p>
    <w:p w:rsidR="000C6666" w:rsidRPr="000C6666" w:rsidRDefault="000C6666" w:rsidP="000C6666">
      <w:pPr>
        <w:jc w:val="both"/>
        <w:rPr>
          <w:lang w:val="en-US"/>
        </w:rPr>
      </w:pPr>
      <w:proofErr w:type="spellStart"/>
      <w:r w:rsidRPr="000C6666">
        <w:rPr>
          <w:lang w:val="en-US"/>
        </w:rPr>
        <w:t>Eurosystem</w:t>
      </w:r>
      <w:proofErr w:type="spellEnd"/>
    </w:p>
    <w:p w:rsidR="000C6666" w:rsidRDefault="000C6666" w:rsidP="000C6666">
      <w:pPr>
        <w:jc w:val="both"/>
      </w:pPr>
      <w:r>
        <w:t>Gruppo PAM</w:t>
      </w:r>
    </w:p>
    <w:p w:rsidR="000C6666" w:rsidRDefault="000C6666" w:rsidP="000C6666">
      <w:pPr>
        <w:jc w:val="both"/>
      </w:pPr>
      <w:r>
        <w:t xml:space="preserve">Innovation </w:t>
      </w:r>
      <w:proofErr w:type="spellStart"/>
      <w:r>
        <w:t>Factory</w:t>
      </w:r>
      <w:proofErr w:type="spellEnd"/>
    </w:p>
    <w:p w:rsidR="000C6666" w:rsidRDefault="000C6666" w:rsidP="000C6666">
      <w:pPr>
        <w:jc w:val="both"/>
      </w:pPr>
      <w:r>
        <w:t>Intesa Sanpaolo</w:t>
      </w:r>
    </w:p>
    <w:p w:rsidR="000C6666" w:rsidRPr="000C6666" w:rsidRDefault="000C6666" w:rsidP="000C6666">
      <w:pPr>
        <w:jc w:val="both"/>
        <w:rPr>
          <w:lang w:val="en-US"/>
        </w:rPr>
      </w:pPr>
      <w:r w:rsidRPr="000C6666">
        <w:rPr>
          <w:lang w:val="en-US"/>
        </w:rPr>
        <w:t>Keyline</w:t>
      </w:r>
    </w:p>
    <w:p w:rsidR="000C6666" w:rsidRPr="000C6666" w:rsidRDefault="000C6666" w:rsidP="000C6666">
      <w:pPr>
        <w:jc w:val="both"/>
        <w:rPr>
          <w:lang w:val="en-US"/>
        </w:rPr>
      </w:pPr>
      <w:r w:rsidRPr="000C6666">
        <w:rPr>
          <w:lang w:val="en-US"/>
        </w:rPr>
        <w:t>Lean Experience Factory</w:t>
      </w:r>
    </w:p>
    <w:p w:rsidR="000C6666" w:rsidRPr="000C6666" w:rsidRDefault="000C6666" w:rsidP="000C6666">
      <w:pPr>
        <w:jc w:val="both"/>
        <w:rPr>
          <w:lang w:val="en-US"/>
        </w:rPr>
      </w:pPr>
      <w:proofErr w:type="spellStart"/>
      <w:r w:rsidRPr="000C6666">
        <w:rPr>
          <w:lang w:val="en-US"/>
        </w:rPr>
        <w:t>Microtec</w:t>
      </w:r>
      <w:proofErr w:type="spellEnd"/>
    </w:p>
    <w:p w:rsidR="000C6666" w:rsidRPr="000C6666" w:rsidRDefault="000C6666" w:rsidP="000C6666">
      <w:pPr>
        <w:jc w:val="both"/>
        <w:rPr>
          <w:lang w:val="en-US"/>
        </w:rPr>
      </w:pPr>
      <w:proofErr w:type="spellStart"/>
      <w:r w:rsidRPr="000C6666">
        <w:rPr>
          <w:lang w:val="en-US"/>
        </w:rPr>
        <w:t>Miriade</w:t>
      </w:r>
      <w:proofErr w:type="spellEnd"/>
    </w:p>
    <w:p w:rsidR="000C6666" w:rsidRPr="000C6666" w:rsidRDefault="000C6666" w:rsidP="000C6666">
      <w:pPr>
        <w:jc w:val="both"/>
        <w:rPr>
          <w:lang w:val="en-US"/>
        </w:rPr>
      </w:pPr>
      <w:proofErr w:type="spellStart"/>
      <w:r w:rsidRPr="000C6666">
        <w:rPr>
          <w:lang w:val="en-US"/>
        </w:rPr>
        <w:t>Omitech</w:t>
      </w:r>
      <w:proofErr w:type="spellEnd"/>
    </w:p>
    <w:p w:rsidR="000C6666" w:rsidRPr="00FB2E2C" w:rsidRDefault="000C6666" w:rsidP="000C6666">
      <w:pPr>
        <w:jc w:val="both"/>
        <w:rPr>
          <w:b/>
          <w:lang w:val="en-US"/>
        </w:rPr>
      </w:pPr>
      <w:proofErr w:type="spellStart"/>
      <w:r w:rsidRPr="00FB2E2C">
        <w:rPr>
          <w:b/>
          <w:lang w:val="en-US"/>
        </w:rPr>
        <w:t>Optoelettronica</w:t>
      </w:r>
      <w:proofErr w:type="spellEnd"/>
      <w:r w:rsidRPr="00FB2E2C">
        <w:rPr>
          <w:b/>
          <w:lang w:val="en-US"/>
        </w:rPr>
        <w:t xml:space="preserve"> Italia</w:t>
      </w:r>
    </w:p>
    <w:p w:rsidR="000C6666" w:rsidRPr="000C6666" w:rsidRDefault="000C6666" w:rsidP="000C6666">
      <w:pPr>
        <w:jc w:val="both"/>
        <w:rPr>
          <w:lang w:val="en-US"/>
        </w:rPr>
      </w:pPr>
      <w:r w:rsidRPr="000C6666">
        <w:rPr>
          <w:lang w:val="en-US"/>
        </w:rPr>
        <w:t>OVS</w:t>
      </w:r>
    </w:p>
    <w:p w:rsidR="000C6666" w:rsidRPr="000C6666" w:rsidRDefault="000C6666" w:rsidP="000C6666">
      <w:pPr>
        <w:jc w:val="both"/>
        <w:rPr>
          <w:lang w:val="en-US"/>
        </w:rPr>
      </w:pPr>
      <w:r w:rsidRPr="000C6666">
        <w:rPr>
          <w:lang w:val="en-US"/>
        </w:rPr>
        <w:t>PricewaterhouseCoopers Advisory</w:t>
      </w:r>
    </w:p>
    <w:p w:rsidR="000C6666" w:rsidRPr="000C6666" w:rsidRDefault="000C6666" w:rsidP="000C6666">
      <w:pPr>
        <w:jc w:val="both"/>
        <w:rPr>
          <w:lang w:val="en-US"/>
        </w:rPr>
      </w:pPr>
      <w:r w:rsidRPr="000C6666">
        <w:rPr>
          <w:lang w:val="en-US"/>
        </w:rPr>
        <w:lastRenderedPageBreak/>
        <w:t>SAVE</w:t>
      </w:r>
    </w:p>
    <w:p w:rsidR="000C6666" w:rsidRPr="000C6666" w:rsidRDefault="000C6666" w:rsidP="000C6666">
      <w:pPr>
        <w:jc w:val="both"/>
        <w:rPr>
          <w:lang w:val="en-US"/>
        </w:rPr>
      </w:pPr>
      <w:r w:rsidRPr="000C6666">
        <w:rPr>
          <w:lang w:val="en-US"/>
        </w:rPr>
        <w:t>Schneider Electric</w:t>
      </w:r>
    </w:p>
    <w:p w:rsidR="000C6666" w:rsidRPr="000C6666" w:rsidRDefault="000C6666" w:rsidP="000C6666">
      <w:pPr>
        <w:jc w:val="both"/>
        <w:rPr>
          <w:lang w:val="en-US"/>
        </w:rPr>
      </w:pPr>
      <w:r w:rsidRPr="000C6666">
        <w:rPr>
          <w:lang w:val="en-US"/>
        </w:rPr>
        <w:t>TEXA</w:t>
      </w:r>
    </w:p>
    <w:p w:rsidR="000C6666" w:rsidRPr="000C6666" w:rsidRDefault="000C6666" w:rsidP="000C6666">
      <w:pPr>
        <w:jc w:val="both"/>
        <w:rPr>
          <w:lang w:val="en-US"/>
        </w:rPr>
      </w:pPr>
      <w:r w:rsidRPr="000C6666">
        <w:rPr>
          <w:lang w:val="en-US"/>
        </w:rPr>
        <w:t>TFM Automotive &amp; Industry</w:t>
      </w:r>
    </w:p>
    <w:p w:rsidR="000C6666" w:rsidRPr="00F70C94" w:rsidRDefault="000C6666" w:rsidP="000C6666">
      <w:pPr>
        <w:jc w:val="both"/>
        <w:rPr>
          <w:lang w:val="en-US"/>
        </w:rPr>
      </w:pPr>
      <w:r w:rsidRPr="00F70C94">
        <w:rPr>
          <w:lang w:val="en-US"/>
        </w:rPr>
        <w:t>Thetis</w:t>
      </w:r>
    </w:p>
    <w:p w:rsidR="000C6666" w:rsidRPr="00F70C94" w:rsidRDefault="000C6666" w:rsidP="000C6666">
      <w:pPr>
        <w:jc w:val="both"/>
        <w:rPr>
          <w:lang w:val="en-US"/>
        </w:rPr>
      </w:pPr>
      <w:r w:rsidRPr="00F70C94">
        <w:rPr>
          <w:lang w:val="en-US"/>
        </w:rPr>
        <w:t>TIM</w:t>
      </w:r>
    </w:p>
    <w:p w:rsidR="000C6666" w:rsidRPr="00F70C94" w:rsidRDefault="000C6666" w:rsidP="000C6666">
      <w:pPr>
        <w:jc w:val="both"/>
        <w:rPr>
          <w:lang w:val="en-US"/>
        </w:rPr>
      </w:pPr>
      <w:proofErr w:type="spellStart"/>
      <w:r w:rsidRPr="00F70C94">
        <w:rPr>
          <w:lang w:val="en-US"/>
        </w:rPr>
        <w:t>Umana</w:t>
      </w:r>
      <w:proofErr w:type="spellEnd"/>
    </w:p>
    <w:p w:rsidR="005610EE" w:rsidRPr="00F70C94" w:rsidRDefault="000C6666" w:rsidP="000C6666">
      <w:pPr>
        <w:jc w:val="both"/>
        <w:rPr>
          <w:lang w:val="en-US"/>
        </w:rPr>
      </w:pPr>
      <w:proofErr w:type="spellStart"/>
      <w:r w:rsidRPr="00F70C94">
        <w:rPr>
          <w:lang w:val="en-US"/>
        </w:rPr>
        <w:t>Wartsila</w:t>
      </w:r>
      <w:proofErr w:type="spellEnd"/>
      <w:r w:rsidRPr="00F70C94">
        <w:rPr>
          <w:lang w:val="en-US"/>
        </w:rPr>
        <w:t xml:space="preserve"> Italia</w:t>
      </w:r>
    </w:p>
    <w:p w:rsidR="000C6666" w:rsidRPr="00F70C94" w:rsidRDefault="000C6666" w:rsidP="005610EE">
      <w:pPr>
        <w:jc w:val="both"/>
        <w:rPr>
          <w:lang w:val="en-US"/>
        </w:rPr>
      </w:pPr>
    </w:p>
    <w:p w:rsidR="000C6666" w:rsidRDefault="009B5F81" w:rsidP="005610EE">
      <w:pPr>
        <w:jc w:val="both"/>
      </w:pPr>
      <w:r>
        <w:t>In piena sinergia con le ‘RIS3’, le strategie comuni delle tre regioni coinvolte, l</w:t>
      </w:r>
      <w:r w:rsidR="00F70C94" w:rsidRPr="00F70C94">
        <w:t xml:space="preserve">e tematiche di indagine del centro verteranno </w:t>
      </w:r>
      <w:r w:rsidR="00F70C94">
        <w:t xml:space="preserve">sulle cosiddette </w:t>
      </w:r>
      <w:r w:rsidR="00F70C94" w:rsidRPr="002F67D1">
        <w:rPr>
          <w:b/>
        </w:rPr>
        <w:t xml:space="preserve">‘4A‘ del Made in </w:t>
      </w:r>
      <w:proofErr w:type="spellStart"/>
      <w:r w:rsidR="00F70C94" w:rsidRPr="002F67D1">
        <w:rPr>
          <w:b/>
        </w:rPr>
        <w:t>Italy</w:t>
      </w:r>
      <w:proofErr w:type="spellEnd"/>
      <w:r w:rsidR="00F70C94">
        <w:t xml:space="preserve">: </w:t>
      </w:r>
      <w:r w:rsidR="00F70C94" w:rsidRPr="00F70C94">
        <w:t>Agro-alimentare, Abbigliamento-accessori moda, Arredo-</w:t>
      </w:r>
      <w:r>
        <w:t>casa e Automazione-meccatronica:</w:t>
      </w:r>
    </w:p>
    <w:p w:rsidR="009B5F81" w:rsidRPr="009B5F81" w:rsidRDefault="009B5F81" w:rsidP="009B5F81">
      <w:pPr>
        <w:jc w:val="both"/>
      </w:pPr>
      <w:r w:rsidRPr="009B5F81">
        <w:rPr>
          <w:b/>
        </w:rPr>
        <w:t>Agro-alimentare</w:t>
      </w:r>
      <w:r w:rsidRPr="009B5F81">
        <w:t>: maggiore qualità dei prodotti grazie a un’agricoltura tecnologica e assistita dal digitale nei processi di produzione, trasformazione e conservazione garantendo la sostenibilità dell’intera filiera</w:t>
      </w:r>
      <w:r w:rsidR="00376E66">
        <w:t>;</w:t>
      </w:r>
    </w:p>
    <w:p w:rsidR="009B5F81" w:rsidRPr="009B5F81" w:rsidRDefault="009B5F81" w:rsidP="009B5F81">
      <w:pPr>
        <w:jc w:val="both"/>
      </w:pPr>
      <w:r w:rsidRPr="009B5F81">
        <w:rPr>
          <w:b/>
        </w:rPr>
        <w:t>Abbigliamento-accessori moda</w:t>
      </w:r>
      <w:r w:rsidRPr="009B5F81">
        <w:t xml:space="preserve">: connubio dello stile italiano alla tecnologia per lo sviluppo di </w:t>
      </w:r>
      <w:proofErr w:type="spellStart"/>
      <w:r w:rsidRPr="009B5F81">
        <w:t>wearable</w:t>
      </w:r>
      <w:proofErr w:type="spellEnd"/>
      <w:r w:rsidRPr="009B5F81">
        <w:t xml:space="preserve"> </w:t>
      </w:r>
      <w:proofErr w:type="spellStart"/>
      <w:r w:rsidRPr="009B5F81">
        <w:t>devices</w:t>
      </w:r>
      <w:proofErr w:type="spellEnd"/>
      <w:r w:rsidRPr="009B5F81">
        <w:t xml:space="preserve"> così da creare ‘abiti, scarpe, occhiali intelligenti’</w:t>
      </w:r>
      <w:r w:rsidR="00376E66">
        <w:t>;</w:t>
      </w:r>
    </w:p>
    <w:p w:rsidR="009B5F81" w:rsidRPr="009B5F81" w:rsidRDefault="009B5F81" w:rsidP="009B5F81">
      <w:pPr>
        <w:jc w:val="both"/>
      </w:pPr>
      <w:r w:rsidRPr="009B5F81">
        <w:rPr>
          <w:b/>
        </w:rPr>
        <w:t>Arredamento-casa</w:t>
      </w:r>
      <w:r w:rsidRPr="009B5F81">
        <w:t>: unione del design tipico dello stile italiano alla tecnologia al fine di sviluppare ‘mobili e case intelligenti’</w:t>
      </w:r>
      <w:r w:rsidR="00376E66">
        <w:t>;</w:t>
      </w:r>
    </w:p>
    <w:p w:rsidR="009B5F81" w:rsidRDefault="009B5F81" w:rsidP="009B5F81">
      <w:pPr>
        <w:jc w:val="both"/>
      </w:pPr>
      <w:r w:rsidRPr="009B5F81">
        <w:rPr>
          <w:b/>
        </w:rPr>
        <w:t>Automazione-meccatronica</w:t>
      </w:r>
      <w:r w:rsidRPr="009B5F81">
        <w:t xml:space="preserve">: </w:t>
      </w:r>
      <w:proofErr w:type="spellStart"/>
      <w:r w:rsidRPr="009B5F81">
        <w:t>sensoristica</w:t>
      </w:r>
      <w:proofErr w:type="spellEnd"/>
      <w:r w:rsidRPr="009B5F81">
        <w:t xml:space="preserve"> a basso consumo e basso costo e connettività distribuita mediante l’elaborazione intelligente dei dati prodotti</w:t>
      </w:r>
      <w:r w:rsidR="00376E66">
        <w:t>.</w:t>
      </w:r>
    </w:p>
    <w:p w:rsidR="009B5F81" w:rsidRPr="00F70C94" w:rsidRDefault="009B5F81" w:rsidP="005610EE">
      <w:pPr>
        <w:jc w:val="both"/>
      </w:pPr>
    </w:p>
    <w:p w:rsidR="00F70C94" w:rsidRDefault="00F70C94" w:rsidP="005610EE">
      <w:pPr>
        <w:jc w:val="both"/>
      </w:pPr>
      <w:r w:rsidRPr="00F70C94">
        <w:t xml:space="preserve">Lo schema di riferimento </w:t>
      </w:r>
      <w:r>
        <w:t xml:space="preserve">del modello di business </w:t>
      </w:r>
      <w:r w:rsidRPr="00F70C94">
        <w:t xml:space="preserve">prevede che, nella fase iniziale, le aziende partner propongano dei progetti di innovazione sviluppabili dal </w:t>
      </w:r>
      <w:proofErr w:type="spellStart"/>
      <w:r w:rsidRPr="00F70C94">
        <w:t>Competence</w:t>
      </w:r>
      <w:proofErr w:type="spellEnd"/>
      <w:r w:rsidRPr="00F70C94">
        <w:t xml:space="preserve"> Center</w:t>
      </w:r>
      <w:r>
        <w:t xml:space="preserve"> stesso</w:t>
      </w:r>
      <w:r w:rsidRPr="00F70C94">
        <w:t xml:space="preserve">. Dopo questa prima fase verranno coinvolte massicciamente le </w:t>
      </w:r>
      <w:r w:rsidRPr="00F70C94">
        <w:rPr>
          <w:b/>
        </w:rPr>
        <w:t>PMI</w:t>
      </w:r>
      <w:r w:rsidRPr="00F70C94">
        <w:t xml:space="preserve"> </w:t>
      </w:r>
      <w:r>
        <w:t xml:space="preserve">(vero target dell’iniziativa) </w:t>
      </w:r>
      <w:r w:rsidRPr="00F70C94">
        <w:t>che presenteranno un progetto e lo svilupperanno assieme ai partner pubblici e privati del CC che, di volta in volta, cambieranno a seconda delle tematiche del progetto e delle specializzazioni richieste.</w:t>
      </w:r>
    </w:p>
    <w:p w:rsidR="009B5F81" w:rsidRDefault="009B5F81" w:rsidP="005610EE">
      <w:pPr>
        <w:jc w:val="both"/>
      </w:pPr>
      <w:r>
        <w:t xml:space="preserve">La contaminazione e network tra DIH-Digital Innovation </w:t>
      </w:r>
      <w:proofErr w:type="spellStart"/>
      <w:r>
        <w:t>Hub</w:t>
      </w:r>
      <w:proofErr w:type="spellEnd"/>
      <w:r>
        <w:t>-Università-Ricerca-Imprese-Scuola porterà benefici per le imprese quali l’ottimizzazione dei processi produttivi, il miglioramento e l’innovazione del prodotto e l’innovazione dei modelli di business e organizzativi.</w:t>
      </w:r>
    </w:p>
    <w:p w:rsidR="00F70C94" w:rsidRDefault="009B5F81" w:rsidP="005610EE">
      <w:pPr>
        <w:jc w:val="both"/>
      </w:pPr>
      <w:r>
        <w:t xml:space="preserve">Per favorire e supportare la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delle imprese, SMACT|CC svilupperà le attività su tre laboratori: </w:t>
      </w:r>
      <w:proofErr w:type="spellStart"/>
      <w:r>
        <w:t>Demonstration</w:t>
      </w:r>
      <w:proofErr w:type="spellEnd"/>
      <w:r>
        <w:t xml:space="preserve"> LAB, T&amp;B Co-design LAB e </w:t>
      </w:r>
      <w:proofErr w:type="spellStart"/>
      <w:r>
        <w:t>Transformation</w:t>
      </w:r>
      <w:proofErr w:type="spellEnd"/>
      <w:r>
        <w:t xml:space="preserve"> LAB.</w:t>
      </w:r>
    </w:p>
    <w:p w:rsidR="009B5F81" w:rsidRPr="009B5F81" w:rsidRDefault="009B5F81" w:rsidP="009B5F81">
      <w:pPr>
        <w:jc w:val="both"/>
      </w:pPr>
      <w:proofErr w:type="spellStart"/>
      <w:r w:rsidRPr="00376E66">
        <w:rPr>
          <w:b/>
        </w:rPr>
        <w:t>Demonstration</w:t>
      </w:r>
      <w:proofErr w:type="spellEnd"/>
      <w:r w:rsidRPr="00376E66">
        <w:rPr>
          <w:b/>
        </w:rPr>
        <w:t xml:space="preserve"> LAB</w:t>
      </w:r>
      <w:r w:rsidRPr="009B5F81">
        <w:t xml:space="preserve">: </w:t>
      </w:r>
      <w:r>
        <w:t>s</w:t>
      </w:r>
      <w:r w:rsidRPr="009B5F81">
        <w:t>pazio destinato alla</w:t>
      </w:r>
      <w:r>
        <w:t xml:space="preserve"> </w:t>
      </w:r>
      <w:r w:rsidRPr="009B5F81">
        <w:t>diffusione della conoscenza di I4.0</w:t>
      </w:r>
      <w:r w:rsidR="00376E66">
        <w:t xml:space="preserve"> e al vero e proprio ‘toccare con mano’ le tecnologie applicate con degli appositi spazi dedicati;</w:t>
      </w:r>
    </w:p>
    <w:p w:rsidR="00376E66" w:rsidRPr="00376E66" w:rsidRDefault="009B5F81" w:rsidP="00376E66">
      <w:pPr>
        <w:jc w:val="both"/>
      </w:pPr>
      <w:r w:rsidRPr="00376E66">
        <w:rPr>
          <w:b/>
        </w:rPr>
        <w:t>T&amp;B Co-design LAB</w:t>
      </w:r>
      <w:r w:rsidR="00376E66" w:rsidRPr="00376E66">
        <w:t>:</w:t>
      </w:r>
      <w:r w:rsidR="00376E66">
        <w:t xml:space="preserve"> s</w:t>
      </w:r>
      <w:r w:rsidR="00376E66" w:rsidRPr="00376E66">
        <w:t xml:space="preserve">truttura distribuita presso i </w:t>
      </w:r>
      <w:proofErr w:type="spellStart"/>
      <w:r w:rsidR="00376E66" w:rsidRPr="00376E66">
        <w:t>Partners</w:t>
      </w:r>
      <w:proofErr w:type="spellEnd"/>
      <w:r w:rsidR="00376E66">
        <w:t>;</w:t>
      </w:r>
      <w:r w:rsidR="00376E66" w:rsidRPr="00376E66">
        <w:t xml:space="preserve"> composto da gruppi inter-partner per</w:t>
      </w:r>
      <w:r w:rsidR="00376E66">
        <w:t xml:space="preserve"> </w:t>
      </w:r>
      <w:r w:rsidR="00376E66" w:rsidRPr="00376E66">
        <w:t>consulenza e sviluppo di progetti ad alto valore tecnologico</w:t>
      </w:r>
      <w:r w:rsidR="00376E66">
        <w:t>;</w:t>
      </w:r>
    </w:p>
    <w:p w:rsidR="009B5F81" w:rsidRDefault="009B5F81" w:rsidP="00080950">
      <w:pPr>
        <w:jc w:val="both"/>
      </w:pPr>
      <w:proofErr w:type="spellStart"/>
      <w:r w:rsidRPr="00376E66">
        <w:rPr>
          <w:b/>
        </w:rPr>
        <w:t>Transformation</w:t>
      </w:r>
      <w:proofErr w:type="spellEnd"/>
      <w:r w:rsidRPr="00376E66">
        <w:rPr>
          <w:b/>
        </w:rPr>
        <w:t xml:space="preserve"> LAB</w:t>
      </w:r>
      <w:r w:rsidR="00376E66">
        <w:t>: s</w:t>
      </w:r>
      <w:r w:rsidR="00376E66" w:rsidRPr="00376E66">
        <w:t>pazio designato per l’accompagnamento delle aziende nell’implementazione delle soluzioni sviluppate</w:t>
      </w:r>
      <w:r w:rsidR="00376E66">
        <w:t>.</w:t>
      </w:r>
    </w:p>
    <w:p w:rsidR="009B5F81" w:rsidRDefault="009B5F81" w:rsidP="00080950">
      <w:pPr>
        <w:jc w:val="both"/>
      </w:pPr>
    </w:p>
    <w:p w:rsidR="009B5F81" w:rsidRPr="00376E66" w:rsidRDefault="00376E66" w:rsidP="00080950">
      <w:pPr>
        <w:jc w:val="both"/>
        <w:rPr>
          <w:b/>
          <w:i/>
          <w:u w:val="single"/>
        </w:rPr>
      </w:pPr>
      <w:proofErr w:type="spellStart"/>
      <w:r w:rsidRPr="00376E66">
        <w:rPr>
          <w:b/>
          <w:i/>
          <w:u w:val="single"/>
        </w:rPr>
        <w:t>Next</w:t>
      </w:r>
      <w:proofErr w:type="spellEnd"/>
      <w:r w:rsidRPr="00376E66">
        <w:rPr>
          <w:b/>
          <w:i/>
          <w:u w:val="single"/>
        </w:rPr>
        <w:t xml:space="preserve"> </w:t>
      </w:r>
      <w:proofErr w:type="spellStart"/>
      <w:r w:rsidRPr="00376E66">
        <w:rPr>
          <w:b/>
          <w:i/>
          <w:u w:val="single"/>
        </w:rPr>
        <w:t>steps</w:t>
      </w:r>
      <w:proofErr w:type="spellEnd"/>
    </w:p>
    <w:p w:rsidR="00C7745A" w:rsidRDefault="00376E66" w:rsidP="00080950">
      <w:pPr>
        <w:jc w:val="both"/>
      </w:pPr>
      <w:r>
        <w:t xml:space="preserve">Gli otto partenariati selezionati accedono </w:t>
      </w:r>
      <w:r w:rsidR="002F67D1">
        <w:t>alla fase negoziale col Ministero</w:t>
      </w:r>
      <w:r w:rsidR="00C7745A">
        <w:t xml:space="preserve">. </w:t>
      </w:r>
      <w:r w:rsidR="00C7745A" w:rsidRPr="00C7745A">
        <w:t xml:space="preserve">Ogni </w:t>
      </w:r>
      <w:r w:rsidR="00C7745A">
        <w:t>cordata</w:t>
      </w:r>
      <w:r w:rsidR="00C7745A" w:rsidRPr="00C7745A">
        <w:t xml:space="preserve">, </w:t>
      </w:r>
      <w:r w:rsidR="00C7745A">
        <w:t>sarà convocata</w:t>
      </w:r>
      <w:r w:rsidR="00C7745A" w:rsidRPr="00C7745A">
        <w:t xml:space="preserve"> nelle prossime settimane per discutere </w:t>
      </w:r>
      <w:r w:rsidR="00C7745A">
        <w:t>in maniera approfondita de</w:t>
      </w:r>
      <w:r w:rsidR="00C7745A" w:rsidRPr="00C7745A">
        <w:t>i progetti</w:t>
      </w:r>
      <w:r w:rsidR="00C7745A">
        <w:t xml:space="preserve"> presentati. Seguirà quindi il Decreto di concessione in cui verranno dettagliati impegno, obiettivi specifici, spese da sostenere assieme a tempi e modalità di realizzazione dell’attività.</w:t>
      </w:r>
    </w:p>
    <w:p w:rsidR="00376E66" w:rsidRDefault="00376E66" w:rsidP="00080950">
      <w:pPr>
        <w:jc w:val="both"/>
      </w:pPr>
    </w:p>
    <w:p w:rsidR="00C7745A" w:rsidRPr="00376E66" w:rsidRDefault="00C7745A" w:rsidP="00080950">
      <w:pPr>
        <w:jc w:val="both"/>
      </w:pPr>
    </w:p>
    <w:p w:rsidR="00080950" w:rsidRPr="00376E66" w:rsidRDefault="00376E66" w:rsidP="0008095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Links utili</w:t>
      </w:r>
    </w:p>
    <w:p w:rsidR="00080950" w:rsidRPr="009B5F81" w:rsidRDefault="00080950" w:rsidP="00080950">
      <w:pPr>
        <w:jc w:val="both"/>
      </w:pPr>
      <w:r w:rsidRPr="009B5F81">
        <w:t>Decreto MISE 29.01.18</w:t>
      </w:r>
    </w:p>
    <w:p w:rsidR="00080950" w:rsidRPr="00F70C94" w:rsidRDefault="00846B15" w:rsidP="00080950">
      <w:pPr>
        <w:jc w:val="both"/>
        <w:rPr>
          <w:lang w:val="en-US"/>
        </w:rPr>
      </w:pPr>
      <w:hyperlink r:id="rId4" w:history="1">
        <w:r w:rsidR="00080950" w:rsidRPr="00F70C94">
          <w:rPr>
            <w:rStyle w:val="Collegamentoipertestuale"/>
            <w:lang w:val="en-US"/>
          </w:rPr>
          <w:t>http://www.sviluppoeconomico.gov.it/index.php/it/normativa/decreti-direttoriali/2037665-decreto-direttoriale-29-gennaio-2018-centri-di-competenza-alta-specializzazione</w:t>
        </w:r>
      </w:hyperlink>
      <w:r w:rsidR="00080950" w:rsidRPr="00F70C94">
        <w:rPr>
          <w:lang w:val="en-US"/>
        </w:rPr>
        <w:t xml:space="preserve"> </w:t>
      </w:r>
    </w:p>
    <w:p w:rsidR="00080950" w:rsidRPr="00F70C94" w:rsidRDefault="00080950" w:rsidP="00080950">
      <w:pPr>
        <w:jc w:val="both"/>
        <w:rPr>
          <w:lang w:val="en-US"/>
        </w:rPr>
      </w:pPr>
    </w:p>
    <w:p w:rsidR="00080950" w:rsidRDefault="00080950" w:rsidP="00080950">
      <w:pPr>
        <w:jc w:val="both"/>
      </w:pPr>
      <w:r>
        <w:t>Graduatoria 24.05.18</w:t>
      </w:r>
    </w:p>
    <w:p w:rsidR="00080950" w:rsidRDefault="00846B15" w:rsidP="00080950">
      <w:pPr>
        <w:jc w:val="both"/>
      </w:pPr>
      <w:hyperlink r:id="rId5" w:history="1">
        <w:r w:rsidR="00080950" w:rsidRPr="00440C5A">
          <w:rPr>
            <w:rStyle w:val="Collegamentoipertestuale"/>
          </w:rPr>
          <w:t>http://www.sviluppoeconomico.gov.it/index.php/it/per-i-media/notizie/2038155-centri-di-competenza-pubblicata-la-graduatoria</w:t>
        </w:r>
      </w:hyperlink>
      <w:r w:rsidR="00080950">
        <w:t xml:space="preserve"> </w:t>
      </w:r>
    </w:p>
    <w:p w:rsidR="00080950" w:rsidRDefault="00080950" w:rsidP="00080950">
      <w:pPr>
        <w:jc w:val="both"/>
      </w:pPr>
    </w:p>
    <w:p w:rsidR="00DC1B37" w:rsidRDefault="00DC1B37" w:rsidP="00080950">
      <w:pPr>
        <w:jc w:val="both"/>
      </w:pPr>
    </w:p>
    <w:p w:rsidR="00080950" w:rsidRDefault="00080950" w:rsidP="00DC1B37">
      <w:pPr>
        <w:jc w:val="right"/>
      </w:pPr>
      <w:r>
        <w:t>Marco Filippozzi</w:t>
      </w:r>
    </w:p>
    <w:p w:rsidR="00080950" w:rsidRDefault="00080950" w:rsidP="00DC1B37">
      <w:pPr>
        <w:jc w:val="right"/>
      </w:pPr>
      <w:r>
        <w:t>25 maggio 2018</w:t>
      </w:r>
    </w:p>
    <w:sectPr w:rsidR="00080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50"/>
    <w:rsid w:val="00080950"/>
    <w:rsid w:val="000C5916"/>
    <w:rsid w:val="000C6666"/>
    <w:rsid w:val="00172050"/>
    <w:rsid w:val="002F67D1"/>
    <w:rsid w:val="00376E66"/>
    <w:rsid w:val="005610EE"/>
    <w:rsid w:val="008253EC"/>
    <w:rsid w:val="00846B15"/>
    <w:rsid w:val="00862CFB"/>
    <w:rsid w:val="009B5F81"/>
    <w:rsid w:val="00C7745A"/>
    <w:rsid w:val="00DC1B37"/>
    <w:rsid w:val="00E52B28"/>
    <w:rsid w:val="00E67391"/>
    <w:rsid w:val="00F70C94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DDE9-8341-4A91-B7AB-0BF23D2D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095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luppoeconomico.gov.it/index.php/it/per-i-media/notizie/2038155-centri-di-competenza-pubblicata-la-graduatoria" TargetMode="External"/><Relationship Id="rId4" Type="http://schemas.openxmlformats.org/officeDocument/2006/relationships/hyperlink" Target="http://www.sviluppoeconomico.gov.it/index.php/it/normativa/decreti-direttoriali/2037665-decreto-direttoriale-29-gennaio-2018-centri-di-competenza-alta-specializz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Filippozzi</dc:creator>
  <cp:keywords/>
  <dc:description/>
  <cp:lastModifiedBy>Viviana Lupi</cp:lastModifiedBy>
  <cp:revision>2</cp:revision>
  <dcterms:created xsi:type="dcterms:W3CDTF">2018-05-28T08:39:00Z</dcterms:created>
  <dcterms:modified xsi:type="dcterms:W3CDTF">2018-05-28T08:39:00Z</dcterms:modified>
</cp:coreProperties>
</file>